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C53ECB" w:rsidRPr="009E1068" w:rsidRDefault="001A48CD" w:rsidP="0001723E">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554CFE">
        <w:rPr>
          <w:rFonts w:ascii="Times New Roman" w:hAnsi="Times New Roman" w:cs="Times New Roman"/>
          <w:b/>
          <w:sz w:val="28"/>
          <w:szCs w:val="28"/>
        </w:rPr>
        <w:t>05/</w:t>
      </w:r>
      <w:r w:rsidR="00C53ECB">
        <w:rPr>
          <w:rFonts w:ascii="Times New Roman" w:hAnsi="Times New Roman" w:cs="Times New Roman"/>
          <w:b/>
          <w:sz w:val="28"/>
          <w:szCs w:val="28"/>
        </w:rPr>
        <w:t>1</w:t>
      </w:r>
      <w:r w:rsidR="0001723E">
        <w:rPr>
          <w:rFonts w:ascii="Times New Roman" w:hAnsi="Times New Roman" w:cs="Times New Roman"/>
          <w:b/>
          <w:sz w:val="28"/>
          <w:szCs w:val="28"/>
        </w:rPr>
        <w:t>2</w:t>
      </w:r>
      <w:r w:rsidR="00554CFE">
        <w:rPr>
          <w:rFonts w:ascii="Times New Roman" w:hAnsi="Times New Roman" w:cs="Times New Roman"/>
          <w:b/>
          <w:sz w:val="28"/>
          <w:szCs w:val="28"/>
        </w:rPr>
        <w:t>/</w:t>
      </w:r>
      <w:r w:rsidR="005578EC">
        <w:rPr>
          <w:rFonts w:ascii="Times New Roman" w:hAnsi="Times New Roman" w:cs="Times New Roman"/>
          <w:b/>
          <w:sz w:val="28"/>
          <w:szCs w:val="28"/>
        </w:rPr>
        <w:t>2019</w:t>
      </w:r>
    </w:p>
    <w:tbl>
      <w:tblPr>
        <w:tblpPr w:leftFromText="180" w:rightFromText="180" w:vertAnchor="text" w:tblpX="204" w:tblpY="1"/>
        <w:tblOverlap w:val="neve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360"/>
        <w:gridCol w:w="9720"/>
        <w:gridCol w:w="1680"/>
      </w:tblGrid>
      <w:tr w:rsidR="001A48CD" w:rsidTr="00EB5FF4">
        <w:tc>
          <w:tcPr>
            <w:tcW w:w="708"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336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972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Pr="00130198" w:rsidRDefault="001A48CD" w:rsidP="00EB5FF4">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tc>
        <w:tc>
          <w:tcPr>
            <w:tcW w:w="168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p>
          <w:p w:rsidR="00EB5FF4" w:rsidRDefault="00EB5FF4" w:rsidP="00392476">
            <w:pPr>
              <w:spacing w:after="0" w:line="300" w:lineRule="exact"/>
              <w:jc w:val="center"/>
              <w:rPr>
                <w:rFonts w:ascii="Times New Roman" w:hAnsi="Times New Roman" w:cs="Times New Roman"/>
                <w:sz w:val="24"/>
              </w:rPr>
            </w:pPr>
          </w:p>
          <w:p w:rsidR="00EB5FF4" w:rsidRPr="00130198"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Nguyễn Văn Hội</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Số 02 ngách 189/14 đường Nguyễn Ngọc Vũ, tổ 10 phường Trung Hòa</w:t>
            </w:r>
          </w:p>
        </w:tc>
        <w:tc>
          <w:tcPr>
            <w:tcW w:w="972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Đề nghị chủ tịch UBND quận: theo khoản 1 điều 17 NĐ 135 ngày 14/11/2003 "đình chỉ và bãi bỏ thông báo số 34 ngày 15/4/2016 của phường Trung Hòa vì vi phạm hiến pháp, pháp luật; Căn cứ Nghị định 107/2006 ngày 22/9/2006 đề nghị chủ tịch quận giải quyết dứt điểm, đúng hiến pháp, đúng pháp luật PC đơn của UBND Thành phố, Sở Nội vụ só 540/1/PC-VP ngày 03/12/2009 gửi UBND quận (kèm theo hồ sơ của Văn phòng quận ủy, giấy biên nhận tài liệu gửi Quận ủy Cầu Giấy ngày 31/8/2007; giấy báo số 123/GB-VPQU; thông báo số 145/TB-VPQU)</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 xml:space="preserve">Các phiếu nhận đơn số 0557, 640, 726, 139, 1096, 0279, 0657, 385 và 12/GB-BTCD ngày 3/12/2009; PCĐ của Sở Nội vụ số 540/1/PC-VP; bộ hồ sơ của Chủ tịch UBND phường Trung Hòa: ông Lê Xuân Toan, công văn số 48/TNMT ngày 01/6/2007 của phòng TNMT </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Nguyễn Công Út</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tổ 23 phường Yên Hòa</w:t>
            </w:r>
          </w:p>
        </w:tc>
        <w:tc>
          <w:tcPr>
            <w:tcW w:w="972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Đề nghị được trình bày, nêu ý kiến về bộ hồ sơ đề nghị cấp GPXD có thời hạn đáp ứng điều kiện quy định tại Điều 94 Luật Xây dựng năm 2014 và khoản 5 điều 3 Nghị định 53/2017/NĐ-CP. Đến nay ông chưa được cấp GPXD có thời hạn và có nghe đ/c Kiên - PP QLĐT nói sẽ có văn bản trả lời. Trường hợp của ông là đủ điều kiện cấp GCN QSDĐ (loại đất SKC) nhưng chưa được cấp.</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Đề nghị được nghe, được nhận văn bản thông báo ý kiến chỉ đạo của Chủ tịch UBND quận</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Phạm Thị Loan và các hộ dân</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Số 100 phố Hoàng Sâm, Nghĩa Đô</w:t>
            </w:r>
          </w:p>
        </w:tc>
        <w:tc>
          <w:tcPr>
            <w:tcW w:w="972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13 hộ dân khu K800 đề nghị được gặp lãnh đạo UBND quận biết kết quả về kết quả cấp GCN (đã có tờ trình số 33/TTR ngày 07/10/2019 của UBND phường Nghĩa Đô gửi UBND quận) đến nay chưa được cấp, hồ sơ đã được Sở TNMT thẩm định và chuyển về UBND quận. Đề nghị lãnh đạo quận chỉ đạo cho các hộ sớm được cấp GCN.</w:t>
            </w:r>
          </w:p>
          <w:p w:rsidR="00EB5FF4" w:rsidRPr="00E329FB" w:rsidRDefault="00EB5FF4" w:rsidP="009B1F6D">
            <w:pPr>
              <w:spacing w:after="0" w:line="300" w:lineRule="exact"/>
              <w:jc w:val="both"/>
              <w:rPr>
                <w:rFonts w:ascii="Times New Roman" w:hAnsi="Times New Roman"/>
                <w:sz w:val="24"/>
              </w:rPr>
            </w:pP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Nguyễn Đình Tịnh</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Số 56 Hồ Tùng Mậu, Mai Dịch</w:t>
            </w:r>
          </w:p>
        </w:tc>
        <w:tc>
          <w:tcPr>
            <w:tcW w:w="9720" w:type="dxa"/>
            <w:shd w:val="clear" w:color="auto" w:fill="auto"/>
          </w:tcPr>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Đề nghị giải quyết về đất TĐC của con gái ông là Nguyễn Thị Hồng Thuyên</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Lý Lâm Bảo</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Số 101 ngõ 175 ngách 20 Bái Ân, phường Nghĩa Đô</w:t>
            </w:r>
          </w:p>
        </w:tc>
        <w:tc>
          <w:tcPr>
            <w:tcW w:w="9720" w:type="dxa"/>
            <w:shd w:val="clear" w:color="auto" w:fill="auto"/>
          </w:tcPr>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Đề nghị giải quyết việc lấn chiếm đất và có văn bản giải quyết, cho ông được cấp sổ đỏ.</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6</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Nguyễn Sỹ Tiến</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Trưởng ban công tác mặt trận số 28 phường Yên Hòa, tổ 39-40-41 phường Yên Hòa</w:t>
            </w:r>
          </w:p>
        </w:tc>
        <w:tc>
          <w:tcPr>
            <w:tcW w:w="972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 xml:space="preserve">Đề nghị quận xử lý dỡ bỏ công trình xây dựng trái phép tại ngõ 6 Dương Đình Nghệ (các hộ đã có đơn đề nghị) theo quyết định của Chủ tịch UBND quận; Báo cáo Sở GTVT mở bến xe buýt tại ngõ 6 Dương Đình Nghệ; cấp phép điểm đỗ xe ô tô tại khu vực đường Dương Đình Nghệ, tổ 40-41 phường Yên Hòa; </w:t>
            </w:r>
          </w:p>
          <w:p w:rsidR="00EB5FF4" w:rsidRPr="00E329FB" w:rsidRDefault="00EB5FF4" w:rsidP="009B1F6D">
            <w:pPr>
              <w:spacing w:after="0" w:line="300" w:lineRule="exact"/>
              <w:jc w:val="both"/>
              <w:rPr>
                <w:rFonts w:ascii="Times New Roman" w:hAnsi="Times New Roman"/>
                <w:sz w:val="24"/>
              </w:rPr>
            </w:pPr>
            <w:bookmarkStart w:id="0" w:name="_GoBack"/>
            <w:bookmarkEnd w:id="0"/>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lastRenderedPageBreak/>
              <w:t>7</w:t>
            </w:r>
          </w:p>
        </w:tc>
        <w:tc>
          <w:tcPr>
            <w:tcW w:w="3360" w:type="dxa"/>
            <w:shd w:val="clear" w:color="auto" w:fill="auto"/>
          </w:tcPr>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Phạm Văn Minh (con bà Trần Thị Phẩm); Tổ 7 phường Trung Hòa</w:t>
            </w:r>
          </w:p>
        </w:tc>
        <w:tc>
          <w:tcPr>
            <w:tcW w:w="9720" w:type="dxa"/>
            <w:shd w:val="clear" w:color="auto" w:fill="auto"/>
          </w:tcPr>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Đề nghị giải quyết việc làm sổ đỏ lần đầu cho bà Phẩm, hiện có tranh chấp với hàng xóm là nhà bà Nguyễn Thị Lựu</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8</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Hoàng Ngọc Thanh</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Số 41 ngõ 235 Yên Hòa, Yên Hòa</w:t>
            </w:r>
          </w:p>
        </w:tc>
        <w:tc>
          <w:tcPr>
            <w:tcW w:w="9720" w:type="dxa"/>
            <w:shd w:val="clear" w:color="auto" w:fill="auto"/>
          </w:tcPr>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 xml:space="preserve">Đề nghị chủ tịch UBND quận cho biết kết quả giải quyết đơn tố cáo về làm sổ đỏ cho thửa đất đang có tranh chấp (từ tháng 7/2019) tố cáo ông Hoàng Trung Kiên </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9</w:t>
            </w:r>
          </w:p>
        </w:tc>
        <w:tc>
          <w:tcPr>
            <w:tcW w:w="3360" w:type="dxa"/>
            <w:shd w:val="clear" w:color="auto" w:fill="auto"/>
          </w:tcPr>
          <w:p w:rsidR="00EB5FF4" w:rsidRPr="00DA349B" w:rsidRDefault="00EB5FF4" w:rsidP="009B1F6D">
            <w:pPr>
              <w:spacing w:after="0" w:line="300" w:lineRule="exact"/>
              <w:jc w:val="both"/>
              <w:rPr>
                <w:rFonts w:ascii="Times New Roman" w:hAnsi="Times New Roman"/>
                <w:spacing w:val="-4"/>
                <w:sz w:val="24"/>
              </w:rPr>
            </w:pPr>
            <w:r w:rsidRPr="00DA349B">
              <w:rPr>
                <w:rFonts w:ascii="Times New Roman" w:hAnsi="Times New Roman"/>
                <w:spacing w:val="-4"/>
                <w:sz w:val="24"/>
              </w:rPr>
              <w:t>Nguyễn Xuân Phúc</w:t>
            </w:r>
          </w:p>
          <w:p w:rsidR="00EB5FF4" w:rsidRPr="00DA349B" w:rsidRDefault="00EB5FF4" w:rsidP="009B1F6D">
            <w:pPr>
              <w:spacing w:after="0" w:line="300" w:lineRule="exact"/>
              <w:jc w:val="both"/>
              <w:rPr>
                <w:rFonts w:ascii="Times New Roman" w:hAnsi="Times New Roman"/>
                <w:spacing w:val="-4"/>
                <w:sz w:val="24"/>
              </w:rPr>
            </w:pPr>
            <w:r w:rsidRPr="00DA349B">
              <w:rPr>
                <w:rFonts w:ascii="Times New Roman" w:hAnsi="Times New Roman"/>
                <w:spacing w:val="-4"/>
                <w:sz w:val="24"/>
              </w:rPr>
              <w:t>Số 6/245/30 Lạ</w:t>
            </w:r>
            <w:r>
              <w:rPr>
                <w:rFonts w:ascii="Times New Roman" w:hAnsi="Times New Roman"/>
                <w:spacing w:val="-4"/>
                <w:sz w:val="24"/>
              </w:rPr>
              <w:t>c Long Quân</w:t>
            </w:r>
          </w:p>
        </w:tc>
        <w:tc>
          <w:tcPr>
            <w:tcW w:w="9720" w:type="dxa"/>
            <w:shd w:val="clear" w:color="auto" w:fill="auto"/>
          </w:tcPr>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Đề nghị giải quyết việc xin cấp GCN, UBND phường Nghĩa Đô đã gửi tờ trình số 35 ngày 23/10/2019 đến nay vẫn chưa được nhận GCN</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10</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Phương Thị Cúc</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Số 4 ngõ 245, ngách 30 Lạc Long Quân, Nghĩa Đô</w:t>
            </w:r>
          </w:p>
        </w:tc>
        <w:tc>
          <w:tcPr>
            <w:tcW w:w="9720" w:type="dxa"/>
            <w:shd w:val="clear" w:color="auto" w:fill="auto"/>
          </w:tcPr>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 xml:space="preserve">Đề nghị giải quyết việc làm sổ đỏ của ông từ đầu năm đến nay chưa được nhận sổ (UBND phường Nghĩa Đô đã công bố, giấy tờ đầy đủ, hợp lệ) </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11</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Vũ Thanh Hải</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Cửa hàng cắt tóc số 7 đường Nguyễn Phong Sắc, phường Dịch Vọng Hâu</w:t>
            </w:r>
          </w:p>
        </w:tc>
        <w:tc>
          <w:tcPr>
            <w:tcW w:w="972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 Đề nghị giải quyết việc BTHT cho bà theo quy định. Nếu không phải đo đạc, xác nhận NGĐ cho bà;</w:t>
            </w:r>
          </w:p>
          <w:p w:rsidR="00EB5FF4" w:rsidRDefault="00EB5FF4" w:rsidP="009B1F6D">
            <w:pPr>
              <w:spacing w:after="0" w:line="300" w:lineRule="exact"/>
              <w:jc w:val="both"/>
              <w:rPr>
                <w:rFonts w:ascii="Times New Roman" w:hAnsi="Times New Roman"/>
                <w:sz w:val="24"/>
              </w:rPr>
            </w:pPr>
            <w:r>
              <w:rPr>
                <w:rFonts w:ascii="Times New Roman" w:hAnsi="Times New Roman"/>
                <w:sz w:val="24"/>
              </w:rPr>
              <w:t>- Cho bà dựng lại gian bếp trên nền đất cũ;</w:t>
            </w:r>
          </w:p>
          <w:p w:rsidR="00EB5FF4" w:rsidRDefault="00EB5FF4" w:rsidP="009B1F6D">
            <w:pPr>
              <w:spacing w:after="0" w:line="300" w:lineRule="exact"/>
              <w:jc w:val="both"/>
              <w:rPr>
                <w:rFonts w:ascii="Times New Roman" w:hAnsi="Times New Roman"/>
                <w:sz w:val="24"/>
              </w:rPr>
            </w:pPr>
            <w:r>
              <w:rPr>
                <w:rFonts w:ascii="Times New Roman" w:hAnsi="Times New Roman"/>
                <w:sz w:val="24"/>
              </w:rPr>
              <w:t xml:space="preserve">- Xử lý cống nước thải chảy vào nhà bà; </w:t>
            </w:r>
          </w:p>
          <w:p w:rsidR="00EB5FF4" w:rsidRDefault="00EB5FF4" w:rsidP="009B1F6D">
            <w:pPr>
              <w:spacing w:after="0" w:line="300" w:lineRule="exact"/>
              <w:jc w:val="both"/>
              <w:rPr>
                <w:rFonts w:ascii="Times New Roman" w:hAnsi="Times New Roman"/>
                <w:sz w:val="24"/>
              </w:rPr>
            </w:pPr>
            <w:r>
              <w:rPr>
                <w:rFonts w:ascii="Times New Roman" w:hAnsi="Times New Roman"/>
                <w:sz w:val="24"/>
              </w:rPr>
              <w:t>- Cho vẽ lại sơ đồ nước, hủy sơ đồ cũ vì hiện nay nhà bà vẫn chưa có nước sạch để sử dụng</w:t>
            </w:r>
          </w:p>
          <w:p w:rsidR="00EB5FF4" w:rsidRDefault="00EB5FF4" w:rsidP="009B1F6D">
            <w:pPr>
              <w:spacing w:after="0" w:line="300" w:lineRule="exact"/>
              <w:jc w:val="both"/>
              <w:rPr>
                <w:rFonts w:ascii="Times New Roman" w:hAnsi="Times New Roman"/>
                <w:sz w:val="24"/>
              </w:rPr>
            </w:pPr>
            <w:r>
              <w:rPr>
                <w:rFonts w:ascii="Times New Roman" w:hAnsi="Times New Roman"/>
                <w:sz w:val="24"/>
              </w:rPr>
              <w:t>- Bà đã ở mấy chục năm nhưng vẫn chưa được sinh hoạt tổ dân phố, không được thống kê dân số;</w:t>
            </w:r>
          </w:p>
          <w:p w:rsidR="00EB5FF4" w:rsidRDefault="00EB5FF4" w:rsidP="009B1F6D">
            <w:pPr>
              <w:spacing w:after="0" w:line="300" w:lineRule="exact"/>
              <w:jc w:val="both"/>
              <w:rPr>
                <w:rFonts w:ascii="Times New Roman" w:hAnsi="Times New Roman"/>
                <w:sz w:val="24"/>
              </w:rPr>
            </w:pPr>
            <w:r>
              <w:rPr>
                <w:rFonts w:ascii="Times New Roman" w:hAnsi="Times New Roman"/>
                <w:sz w:val="24"/>
              </w:rPr>
              <w:t>- Trả lời đơn bà đã gửi (văn bản gửi bà ngày nào thì ghi ngày đấy).</w:t>
            </w:r>
          </w:p>
          <w:p w:rsidR="00EB5FF4" w:rsidRPr="00E329FB" w:rsidRDefault="00EB5FF4" w:rsidP="009B1F6D">
            <w:pPr>
              <w:spacing w:after="0" w:line="300" w:lineRule="exact"/>
              <w:jc w:val="both"/>
              <w:rPr>
                <w:rFonts w:ascii="Times New Roman" w:hAnsi="Times New Roman"/>
                <w:sz w:val="24"/>
              </w:rPr>
            </w:pPr>
            <w:r>
              <w:rPr>
                <w:rFonts w:ascii="Times New Roman" w:hAnsi="Times New Roman"/>
                <w:sz w:val="24"/>
              </w:rPr>
              <w:t>- Khi làm đường đã lấn vào đất của bà nhưng không bồi thường cho bà.</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r w:rsidR="00EB5FF4" w:rsidTr="00EB5FF4">
        <w:tc>
          <w:tcPr>
            <w:tcW w:w="708" w:type="dxa"/>
            <w:shd w:val="clear" w:color="auto" w:fill="auto"/>
          </w:tcPr>
          <w:p w:rsidR="00EB5FF4" w:rsidRDefault="00EB5FF4" w:rsidP="00392476">
            <w:pPr>
              <w:spacing w:after="0" w:line="300" w:lineRule="exact"/>
              <w:jc w:val="center"/>
              <w:rPr>
                <w:rFonts w:ascii="Times New Roman" w:hAnsi="Times New Roman" w:cs="Times New Roman"/>
                <w:sz w:val="24"/>
              </w:rPr>
            </w:pPr>
            <w:r>
              <w:rPr>
                <w:rFonts w:ascii="Times New Roman" w:hAnsi="Times New Roman" w:cs="Times New Roman"/>
                <w:sz w:val="24"/>
              </w:rPr>
              <w:t>12</w:t>
            </w:r>
          </w:p>
        </w:tc>
        <w:tc>
          <w:tcPr>
            <w:tcW w:w="336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Đỗ Thị Yến;</w:t>
            </w:r>
          </w:p>
          <w:p w:rsidR="00EB5FF4" w:rsidRDefault="00EB5FF4" w:rsidP="009B1F6D">
            <w:pPr>
              <w:spacing w:after="0" w:line="300" w:lineRule="exact"/>
              <w:jc w:val="both"/>
              <w:rPr>
                <w:rFonts w:ascii="Times New Roman" w:hAnsi="Times New Roman"/>
                <w:sz w:val="24"/>
              </w:rPr>
            </w:pPr>
            <w:r>
              <w:rPr>
                <w:rFonts w:ascii="Times New Roman" w:hAnsi="Times New Roman"/>
                <w:sz w:val="24"/>
              </w:rPr>
              <w:t>tổ 27 phường Dịch Vọng Hậu</w:t>
            </w:r>
          </w:p>
          <w:p w:rsidR="00EB5FF4" w:rsidRDefault="00EB5FF4" w:rsidP="009B1F6D">
            <w:pPr>
              <w:spacing w:after="0" w:line="300" w:lineRule="exact"/>
              <w:jc w:val="both"/>
              <w:rPr>
                <w:rFonts w:ascii="Times New Roman" w:hAnsi="Times New Roman"/>
                <w:sz w:val="24"/>
              </w:rPr>
            </w:pPr>
          </w:p>
        </w:tc>
        <w:tc>
          <w:tcPr>
            <w:tcW w:w="9720" w:type="dxa"/>
            <w:shd w:val="clear" w:color="auto" w:fill="auto"/>
          </w:tcPr>
          <w:p w:rsidR="00EB5FF4" w:rsidRDefault="00EB5FF4" w:rsidP="009B1F6D">
            <w:pPr>
              <w:spacing w:after="0" w:line="300" w:lineRule="exact"/>
              <w:jc w:val="both"/>
              <w:rPr>
                <w:rFonts w:ascii="Times New Roman" w:hAnsi="Times New Roman"/>
                <w:sz w:val="24"/>
              </w:rPr>
            </w:pPr>
            <w:r>
              <w:rPr>
                <w:rFonts w:ascii="Times New Roman" w:hAnsi="Times New Roman"/>
                <w:sz w:val="24"/>
              </w:rPr>
              <w:t>- Đề nghị mời gia đình bà và gia đình ông Nguyễn Mạnh Khách đối thoại, giải quyết dứt điểm;</w:t>
            </w:r>
          </w:p>
          <w:p w:rsidR="00EB5FF4" w:rsidRDefault="00EB5FF4" w:rsidP="009B1F6D">
            <w:pPr>
              <w:spacing w:after="0" w:line="300" w:lineRule="exact"/>
              <w:jc w:val="both"/>
              <w:rPr>
                <w:rFonts w:ascii="Times New Roman" w:hAnsi="Times New Roman"/>
                <w:sz w:val="24"/>
              </w:rPr>
            </w:pPr>
            <w:r>
              <w:rPr>
                <w:rFonts w:ascii="Times New Roman" w:hAnsi="Times New Roman"/>
                <w:sz w:val="24"/>
              </w:rPr>
              <w:t>- Trả lại bà kiot số 48 ở chợ nông sản thực phẩm Dịch Vọng Hậu, phường Dịch Vọng Hậu;</w:t>
            </w:r>
          </w:p>
          <w:p w:rsidR="00EB5FF4" w:rsidRDefault="00EB5FF4" w:rsidP="009B1F6D">
            <w:pPr>
              <w:spacing w:after="0" w:line="300" w:lineRule="exact"/>
              <w:jc w:val="both"/>
              <w:rPr>
                <w:rFonts w:ascii="Times New Roman" w:hAnsi="Times New Roman"/>
                <w:sz w:val="24"/>
              </w:rPr>
            </w:pPr>
            <w:r>
              <w:rPr>
                <w:rFonts w:ascii="Times New Roman" w:hAnsi="Times New Roman"/>
                <w:sz w:val="24"/>
              </w:rPr>
              <w:t>- Trả lại 100m2 đất mương cho bà (dự án Constrexim)</w:t>
            </w:r>
          </w:p>
        </w:tc>
        <w:tc>
          <w:tcPr>
            <w:tcW w:w="1680" w:type="dxa"/>
            <w:shd w:val="clear" w:color="auto" w:fill="auto"/>
          </w:tcPr>
          <w:p w:rsidR="00EB5FF4" w:rsidRPr="00130198" w:rsidRDefault="00EB5FF4" w:rsidP="00392476">
            <w:pPr>
              <w:spacing w:after="0" w:line="300" w:lineRule="exact"/>
              <w:jc w:val="both"/>
              <w:rPr>
                <w:rFonts w:ascii="Times New Roman" w:hAnsi="Times New Roman" w:cs="Times New Roman"/>
                <w:sz w:val="24"/>
              </w:rPr>
            </w:pPr>
          </w:p>
        </w:tc>
      </w:tr>
    </w:tbl>
    <w:p w:rsidR="00130198" w:rsidRDefault="00130198" w:rsidP="00584D7B">
      <w:pPr>
        <w:spacing w:after="0" w:line="300" w:lineRule="exact"/>
        <w:jc w:val="center"/>
        <w:rPr>
          <w:rFonts w:ascii="Times New Roman" w:hAnsi="Times New Roman" w:cs="Times New Roman"/>
          <w:b/>
          <w:sz w:val="32"/>
        </w:rPr>
      </w:pPr>
    </w:p>
    <w:tbl>
      <w:tblPr>
        <w:tblW w:w="5000" w:type="pct"/>
        <w:tblLayout w:type="fixed"/>
        <w:tblLook w:val="0000" w:firstRow="0" w:lastRow="0" w:firstColumn="0" w:lastColumn="0" w:noHBand="0" w:noVBand="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23E"/>
    <w:rsid w:val="00017E5E"/>
    <w:rsid w:val="00023D17"/>
    <w:rsid w:val="00055719"/>
    <w:rsid w:val="000B112B"/>
    <w:rsid w:val="000C7D71"/>
    <w:rsid w:val="00100A7B"/>
    <w:rsid w:val="00130198"/>
    <w:rsid w:val="00186DF5"/>
    <w:rsid w:val="001A48CD"/>
    <w:rsid w:val="001E30A9"/>
    <w:rsid w:val="00391286"/>
    <w:rsid w:val="00392476"/>
    <w:rsid w:val="003F278E"/>
    <w:rsid w:val="004B5F97"/>
    <w:rsid w:val="00523113"/>
    <w:rsid w:val="00554CFE"/>
    <w:rsid w:val="005578EC"/>
    <w:rsid w:val="00584D7B"/>
    <w:rsid w:val="00586A65"/>
    <w:rsid w:val="00657B6E"/>
    <w:rsid w:val="00787107"/>
    <w:rsid w:val="007A1F7E"/>
    <w:rsid w:val="00976EDB"/>
    <w:rsid w:val="00987771"/>
    <w:rsid w:val="009C4BA9"/>
    <w:rsid w:val="009E1068"/>
    <w:rsid w:val="00A04333"/>
    <w:rsid w:val="00A5314D"/>
    <w:rsid w:val="00A622FA"/>
    <w:rsid w:val="00BC7D39"/>
    <w:rsid w:val="00C449F3"/>
    <w:rsid w:val="00C53ECB"/>
    <w:rsid w:val="00C6190F"/>
    <w:rsid w:val="00D40F4F"/>
    <w:rsid w:val="00EB5FF4"/>
    <w:rsid w:val="00FE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2019-01-21T02:43:00Z</cp:lastPrinted>
  <dcterms:created xsi:type="dcterms:W3CDTF">2019-12-05T08:57:00Z</dcterms:created>
  <dcterms:modified xsi:type="dcterms:W3CDTF">2019-12-05T09:00:00Z</dcterms:modified>
</cp:coreProperties>
</file>