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Pr="009E1068" w:rsidRDefault="001A48CD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5578EC">
        <w:rPr>
          <w:rFonts w:ascii="Times New Roman" w:hAnsi="Times New Roman" w:cs="Times New Roman"/>
          <w:b/>
          <w:sz w:val="28"/>
          <w:szCs w:val="28"/>
        </w:rPr>
        <w:t>05/3/2019</w:t>
      </w:r>
      <w:bookmarkStart w:id="0" w:name="_GoBack"/>
      <w:bookmarkEnd w:id="0"/>
    </w:p>
    <w:tbl>
      <w:tblPr>
        <w:tblpPr w:leftFromText="180" w:rightFromText="180" w:vertAnchor="text" w:tblpX="204" w:tblpY="1"/>
        <w:tblOverlap w:val="never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000"/>
        <w:gridCol w:w="9480"/>
        <w:gridCol w:w="1920"/>
      </w:tblGrid>
      <w:tr w:rsidR="001A48CD" w:rsidTr="00392476">
        <w:tc>
          <w:tcPr>
            <w:tcW w:w="708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NỘI DUNG PHẢN ÁNH, KIẾN NGHỊ, </w:t>
            </w: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KHIẾU NẠI, TỐ CÁO</w:t>
            </w: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Nguyễn Ngọc Thơ</w:t>
            </w:r>
          </w:p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Số 44 Nguyễn Khang, phường Yên Hòa</w:t>
            </w:r>
          </w:p>
        </w:tc>
        <w:tc>
          <w:tcPr>
            <w:tcW w:w="9480" w:type="dxa"/>
            <w:shd w:val="clear" w:color="auto" w:fill="auto"/>
          </w:tcPr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Đề nghị được gặp Chủ tịch UBND quận để giải quyết việc cấp GCN QSDĐ cho ông theo văn bản số 908/VP-ĐT ngày 28/01/2019 của UBND thành phó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Nguyễn Thị Đức Huyền</w:t>
            </w:r>
          </w:p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Số 43 Lê Quý Đôn, quận Hoàn Kiếm</w:t>
            </w:r>
          </w:p>
        </w:tc>
        <w:tc>
          <w:tcPr>
            <w:tcW w:w="9480" w:type="dxa"/>
            <w:shd w:val="clear" w:color="auto" w:fill="auto"/>
          </w:tcPr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Đề nghị trả lời dứt điểm việc cấp GCN cho bà tại phường Yên Hòa, nếu không được thì trả lời bằng văn bản cho bà biết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Vũ Thanh Hải</w:t>
            </w:r>
          </w:p>
          <w:p w:rsidR="005578EC" w:rsidRPr="007917D2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17D2">
              <w:rPr>
                <w:rFonts w:ascii="Times New Roman" w:hAnsi="Times New Roman" w:cs="Times New Roman"/>
                <w:sz w:val="25"/>
                <w:szCs w:val="25"/>
              </w:rPr>
              <w:t>Cửa hàng số 7 đường Nguyễn Phong Sắc, tổ 38 (nay là tổ 13) phường Dịch Vọng Hậu</w:t>
            </w:r>
          </w:p>
        </w:tc>
        <w:tc>
          <w:tcPr>
            <w:tcW w:w="9480" w:type="dxa"/>
            <w:shd w:val="clear" w:color="auto" w:fill="auto"/>
          </w:tcPr>
          <w:p w:rsidR="005578EC" w:rsidRPr="00151CD4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>Đề nghị gặp ông Chủ tịch quận và PCT Trần Việt Hà về việc:</w:t>
            </w:r>
          </w:p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Gia đình bà ở trên</w:t>
            </w: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 xml:space="preserve"> đất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bỏ không hoang hóa nằm ngoài cột mốc giới của Học viện Báo chí,  không có tranh chấp với ai</w:t>
            </w: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>. Theo Luật đất đai năm 2003 đã có hiệu lực công nhận là đất ở hợp pháp; khoản 4 Điều 50 luật đất đai năm 2003; nghị định 43 của chính phủ cho phép làm GCN QSDĐ hợp pháp nhưng nay nằm trong GPMB dự án mở rộng đường Nguyễn Phong Sắc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 Đề nghị đền bù hỗ trợ + TĐC để bà ổn định cuộc sống. Phải chờ đợi thì đề nghị chính quyền đo đạc, xác nhận NGĐ ở cho gia đinh bà để đảm bảo quyền lợi hợp pháp; Gia đình bà ở đây từ năm 1991 vậy tại sao chính quyền lại bảo bà nói sai và tìm mọi cách đưa gia đình bà sang địa chỉ khác; Năm 2014 một số cán bộ quận, phường đến nhà bà đo đất nói là để giải quyết đền bù cho bà nhưng đến nay chưa giải quyết;</w:t>
            </w:r>
          </w:p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 xml:space="preserve">- Đề nghị Lãnh đạo phường Dịch Vọng Hậu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+ quận Cầu Giấy </w:t>
            </w: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>cho phép bà dựng tạm lại bếp trên nền bếp cũ của nhà bà để phục vụ cuộc số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ng hàng ngày</w:t>
            </w:r>
            <w:r w:rsidRPr="00151C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578EC" w:rsidRPr="00373C4A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Đề nghị kiểm tra, chặn cống nước thải ô nhiễm sức khỏe của gia đình bà.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Nguyễn Văn Sửu;</w:t>
            </w:r>
          </w:p>
          <w:p w:rsidR="005578EC" w:rsidRPr="00373C4A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Phường Mai Dịch</w:t>
            </w:r>
          </w:p>
        </w:tc>
        <w:tc>
          <w:tcPr>
            <w:tcW w:w="9480" w:type="dxa"/>
            <w:shd w:val="clear" w:color="auto" w:fill="auto"/>
          </w:tcPr>
          <w:p w:rsidR="005578EC" w:rsidRPr="00373C4A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Đề nghị trả lại hồ sơ thửa đất TĐC ở khu 2.3 ha Phú Diễn cho ông để  ông xin cấp GCN.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Nguyễn Đình Tịnh;</w:t>
            </w:r>
          </w:p>
          <w:p w:rsidR="005578EC" w:rsidRPr="00373C4A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Số 56 Hồ Tùng Mậu, phường Mai Dịch</w:t>
            </w:r>
          </w:p>
        </w:tc>
        <w:tc>
          <w:tcPr>
            <w:tcW w:w="9480" w:type="dxa"/>
            <w:shd w:val="clear" w:color="auto" w:fill="auto"/>
          </w:tcPr>
          <w:p w:rsidR="005578EC" w:rsidRPr="00373C4A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Đề nghị giải quyết đất TĐC cho con gái ông là Nguyễn Thị Hồng Thuyên tại khu TĐC 2,3 ha phường Phú Diễn.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8EC" w:rsidTr="00392476">
        <w:tc>
          <w:tcPr>
            <w:tcW w:w="708" w:type="dxa"/>
            <w:shd w:val="clear" w:color="auto" w:fill="auto"/>
          </w:tcPr>
          <w:p w:rsidR="005578EC" w:rsidRDefault="005578EC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Nguyễn Anh Tuấn;</w:t>
            </w:r>
          </w:p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Số 4 tổ 16 phường Nghĩa Đô</w:t>
            </w:r>
          </w:p>
        </w:tc>
        <w:tc>
          <w:tcPr>
            <w:tcW w:w="9480" w:type="dxa"/>
            <w:shd w:val="clear" w:color="auto" w:fill="auto"/>
          </w:tcPr>
          <w:p w:rsidR="005578EC" w:rsidRDefault="005578EC" w:rsidP="009949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Đề nghị giải quyết dứt điểm nhà ông Lại Phú Thế ở số 2, tổ 16 xây dựng nhà nghiêng sang nhà ông 15-20cm.</w:t>
            </w:r>
          </w:p>
        </w:tc>
        <w:tc>
          <w:tcPr>
            <w:tcW w:w="1920" w:type="dxa"/>
            <w:shd w:val="clear" w:color="auto" w:fill="auto"/>
          </w:tcPr>
          <w:p w:rsidR="005578EC" w:rsidRPr="00130198" w:rsidRDefault="005578EC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0198" w:rsidRDefault="00130198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5000" w:type="pct"/>
        <w:tblLayout w:type="fixed"/>
        <w:tblLook w:val="0000"/>
      </w:tblPr>
      <w:tblGrid>
        <w:gridCol w:w="7063"/>
        <w:gridCol w:w="8633"/>
      </w:tblGrid>
      <w:tr w:rsidR="00130198" w:rsidTr="00130198">
        <w:tc>
          <w:tcPr>
            <w:tcW w:w="2250" w:type="pct"/>
          </w:tcPr>
          <w:p w:rsidR="00130198" w:rsidRPr="00130198" w:rsidRDefault="00130198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130198" w:rsidRPr="00130198" w:rsidRDefault="00130198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0198"/>
    <w:rsid w:val="00017E5E"/>
    <w:rsid w:val="00023D17"/>
    <w:rsid w:val="00055719"/>
    <w:rsid w:val="000B112B"/>
    <w:rsid w:val="00100A7B"/>
    <w:rsid w:val="00130198"/>
    <w:rsid w:val="00186DF5"/>
    <w:rsid w:val="001A48CD"/>
    <w:rsid w:val="001E30A9"/>
    <w:rsid w:val="00391286"/>
    <w:rsid w:val="00392476"/>
    <w:rsid w:val="003F278E"/>
    <w:rsid w:val="004B5F97"/>
    <w:rsid w:val="00523113"/>
    <w:rsid w:val="005578EC"/>
    <w:rsid w:val="00584D7B"/>
    <w:rsid w:val="00586A65"/>
    <w:rsid w:val="00657B6E"/>
    <w:rsid w:val="00787107"/>
    <w:rsid w:val="00817A2A"/>
    <w:rsid w:val="00976EDB"/>
    <w:rsid w:val="00987771"/>
    <w:rsid w:val="009C4BA9"/>
    <w:rsid w:val="009E1068"/>
    <w:rsid w:val="00A622FA"/>
    <w:rsid w:val="00BC7D39"/>
    <w:rsid w:val="00C449F3"/>
    <w:rsid w:val="00C6190F"/>
    <w:rsid w:val="00DB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2019-01-21T02:43:00Z</cp:lastPrinted>
  <dcterms:created xsi:type="dcterms:W3CDTF">2019-03-05T09:57:00Z</dcterms:created>
  <dcterms:modified xsi:type="dcterms:W3CDTF">2019-03-05T09:57:00Z</dcterms:modified>
</cp:coreProperties>
</file>